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литерату</w:t>
      </w:r>
      <w:r>
        <w:rPr>
          <w:rFonts w:ascii="Times New Roman" w:hAnsi="Times New Roman" w:cs="Times New Roman"/>
          <w:sz w:val="24"/>
          <w:szCs w:val="24"/>
        </w:rPr>
        <w:t xml:space="preserve">ра для самостоятельного изучения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ресурсы в управлении качеством жизни молодежи: стратегии, инструменты, измерения: монография. – СПб.: Наукоемкие технологии, 2020. – 148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http://publishing.intelgr.com/archive/lichnostnyie-resursyi-v-upravlenii-kachestvom-zhizni.pdf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http://publishing.intelgr.com/archive/lichnostnyie-resursyi-v-upravlenii-kachestvom-zhizni.pdf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Лучшие практики деятельности молодежных проектных </w:t>
      </w:r>
      <w:r>
        <w:rPr>
          <w:rFonts w:ascii="Times New Roman" w:hAnsi="Times New Roman" w:cs="Times New Roman"/>
          <w:sz w:val="24"/>
          <w:szCs w:val="24"/>
        </w:rPr>
        <w:t xml:space="preserve">команд./</w:t>
      </w:r>
      <w:r>
        <w:rPr>
          <w:rFonts w:ascii="Times New Roman" w:hAnsi="Times New Roman" w:cs="Times New Roman"/>
          <w:sz w:val="24"/>
          <w:szCs w:val="24"/>
        </w:rPr>
        <w:t xml:space="preserve">И.С.Фатов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А.О.Аполосова</w:t>
      </w:r>
      <w:r>
        <w:rPr>
          <w:rFonts w:ascii="Times New Roman" w:hAnsi="Times New Roman" w:cs="Times New Roman"/>
          <w:sz w:val="24"/>
          <w:szCs w:val="24"/>
        </w:rPr>
        <w:t xml:space="preserve">, В.А. </w:t>
      </w:r>
      <w:r>
        <w:rPr>
          <w:rFonts w:ascii="Times New Roman" w:hAnsi="Times New Roman" w:cs="Times New Roman"/>
          <w:sz w:val="24"/>
          <w:szCs w:val="24"/>
        </w:rPr>
        <w:t xml:space="preserve">Миюсов</w:t>
      </w:r>
      <w:r>
        <w:rPr>
          <w:rFonts w:ascii="Times New Roman" w:hAnsi="Times New Roman" w:cs="Times New Roman"/>
          <w:sz w:val="24"/>
          <w:szCs w:val="24"/>
        </w:rPr>
        <w:t xml:space="preserve">; под общ. ред. И.С.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Фатова</w:t>
      </w:r>
      <w:r>
        <w:rPr>
          <w:rFonts w:ascii="Times New Roman" w:hAnsi="Times New Roman" w:cs="Times New Roman"/>
          <w:sz w:val="24"/>
          <w:szCs w:val="24"/>
        </w:rPr>
        <w:t xml:space="preserve">. Методическое пособие. -Калуга: Изд-во АКФ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Политоп</w:t>
      </w:r>
      <w:r>
        <w:rPr>
          <w:rFonts w:ascii="Times New Roman" w:hAnsi="Times New Roman" w:cs="Times New Roman"/>
          <w:sz w:val="24"/>
          <w:szCs w:val="24"/>
        </w:rPr>
        <w:t xml:space="preserve">». -2018. </w:t>
      </w:r>
      <w:hyperlink r:id="rId10" w:tooltip="https://www.ruy.ru/upload/iblock/8e6/Luchshie_praktiki_deyatelnosti_molodezhnykh_proektnykh_komand.pdf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https://www.ruy.ru/upload/iblock/8e6/Luchshie_praktiki_deyatelnosti_molodezhnykh_proektnykh_komand.pdf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Молодежная политика в современной </w:t>
      </w:r>
      <w:r>
        <w:rPr>
          <w:rFonts w:ascii="Times New Roman" w:hAnsi="Times New Roman" w:cs="Times New Roman"/>
          <w:sz w:val="24"/>
          <w:szCs w:val="24"/>
        </w:rPr>
        <w:t xml:space="preserve">России 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для вузов / Т. К. Ростовская, Е. А. Князькова. — </w:t>
      </w:r>
      <w:r>
        <w:rPr>
          <w:rFonts w:ascii="Times New Roman" w:hAnsi="Times New Roman" w:cs="Times New Roman"/>
          <w:sz w:val="24"/>
          <w:szCs w:val="24"/>
        </w:rPr>
        <w:t xml:space="preserve">Москва :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r>
        <w:rPr>
          <w:rFonts w:ascii="Times New Roman" w:hAnsi="Times New Roman" w:cs="Times New Roman"/>
          <w:sz w:val="24"/>
          <w:szCs w:val="24"/>
        </w:rPr>
        <w:t xml:space="preserve">Юрайт</w:t>
      </w:r>
      <w:r>
        <w:rPr>
          <w:rFonts w:ascii="Times New Roman" w:hAnsi="Times New Roman" w:cs="Times New Roman"/>
          <w:sz w:val="24"/>
          <w:szCs w:val="24"/>
        </w:rPr>
        <w:t xml:space="preserve">, 2020. — 155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http://xn--h1aauh.xn--p1ai/wp-content/uploads/2020/12/%D0%9C%D0%BE%D0%BB%D0%BE%D0%B4%D0%B5%D0%B6%D0%BD%D0%B0%D1%8F-%D0%BF%D0%BE%D0%BB%D0%B8%D1%82%D0%B8%D0%BA%D0%B0-%D0%A0%D0%BE%D1%81%D1%82%D0%BE%D0%B2%D1%81%D0%BA%D0%B0%D1%8F-%D0%9A%D0%BD%D1%8F%D0%B7%D1%8C%D0%BA%D0%BE%D0%B2%D0%B0.pdf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http://xn--h1aauh.xn--p1ai/</w:t>
        </w:r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wp-content/uploads/2020/12/%D0%9C%D0%BE%D0%BB%D0%BE%D0%B4%D0%B5%D0%B6%D0%BD%D0%B0%D1%8F-%D0%BF%D0%BE%D0%BB%D0%B8%D1%82%D0%B8%D0%BA%D0%B0-%D0%A0%D0%BE%D1%81%D1%82%D0%BE%D0%B2%D1%81%D0%BA%D0%B0%D1%8F-%D0%9A%D0%BD%D1%8F%D0%B7%D1%8C%D0%BA%D0%BE%D0%B2%D0%B0.pdf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left="0" w:firstLine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Молодежная политика в современной России: вопросы теории и практики /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общ. ред. С.Ю. Поповой. —М.: Аквилон, 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https://www.aquilopress.com/Pro/Upload/Book/TextAll.pdf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https://www.aquilopress.com/Pro/Upload/Book/TextAll.pdf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Молодежь в городе: культуры, сцены и солидарности [Текст</w:t>
      </w:r>
      <w:r>
        <w:rPr>
          <w:rFonts w:ascii="Times New Roman" w:hAnsi="Times New Roman" w:cs="Times New Roman"/>
          <w:sz w:val="24"/>
          <w:szCs w:val="24"/>
        </w:rPr>
        <w:t xml:space="preserve">] :</w:t>
      </w:r>
      <w:r>
        <w:rPr>
          <w:rFonts w:ascii="Times New Roman" w:hAnsi="Times New Roman" w:cs="Times New Roman"/>
          <w:sz w:val="24"/>
          <w:szCs w:val="24"/>
        </w:rPr>
        <w:t xml:space="preserve"> коллект. </w:t>
      </w:r>
      <w:r>
        <w:rPr>
          <w:rFonts w:ascii="Times New Roman" w:hAnsi="Times New Roman" w:cs="Times New Roman"/>
          <w:sz w:val="24"/>
          <w:szCs w:val="24"/>
        </w:rPr>
        <w:t xml:space="preserve">моногр</w:t>
      </w:r>
      <w:r>
        <w:rPr>
          <w:rFonts w:ascii="Times New Roman" w:hAnsi="Times New Roman" w:cs="Times New Roman"/>
          <w:sz w:val="24"/>
          <w:szCs w:val="24"/>
        </w:rPr>
        <w:t xml:space="preserve">. / сост. и науч. ред. Е. Л. </w:t>
      </w:r>
      <w:r>
        <w:rPr>
          <w:rFonts w:ascii="Times New Roman" w:hAnsi="Times New Roman" w:cs="Times New Roman"/>
          <w:sz w:val="24"/>
          <w:szCs w:val="24"/>
        </w:rPr>
        <w:t xml:space="preserve">Омельченко ;</w:t>
      </w:r>
      <w:r>
        <w:rPr>
          <w:rFonts w:ascii="Times New Roman" w:hAnsi="Times New Roman" w:cs="Times New Roman"/>
          <w:sz w:val="24"/>
          <w:szCs w:val="24"/>
        </w:rPr>
        <w:t xml:space="preserve"> Нац. </w:t>
      </w:r>
      <w:r>
        <w:rPr>
          <w:rFonts w:ascii="Times New Roman" w:hAnsi="Times New Roman" w:cs="Times New Roman"/>
          <w:sz w:val="24"/>
          <w:szCs w:val="24"/>
        </w:rPr>
        <w:t xml:space="preserve">исслед</w:t>
      </w:r>
      <w:r>
        <w:rPr>
          <w:rFonts w:ascii="Times New Roman" w:hAnsi="Times New Roman" w:cs="Times New Roman"/>
          <w:sz w:val="24"/>
          <w:szCs w:val="24"/>
        </w:rPr>
        <w:t xml:space="preserve">. ун-т «Высшая школа экономики». — </w:t>
      </w:r>
      <w:r>
        <w:rPr>
          <w:rFonts w:ascii="Times New Roman" w:hAnsi="Times New Roman" w:cs="Times New Roman"/>
          <w:sz w:val="24"/>
          <w:szCs w:val="24"/>
        </w:rPr>
        <w:t xml:space="preserve">М. :</w:t>
      </w:r>
      <w:r>
        <w:rPr>
          <w:rFonts w:ascii="Times New Roman" w:hAnsi="Times New Roman" w:cs="Times New Roman"/>
          <w:sz w:val="24"/>
          <w:szCs w:val="24"/>
        </w:rPr>
        <w:t xml:space="preserve"> Изд. дом Высшей школы экономики, 2020.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tooltip="https://publications.hse.ru/mirror/pubs/share/direct/387171972.pdf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https://publications.hse.ru/mirror/pubs/share/direct/387171972.pdf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Ученическое самоуправление: организационно-правовые основы, система деятельности: учебно-методическое пособие / А.С. </w:t>
      </w:r>
      <w:r>
        <w:rPr>
          <w:rFonts w:ascii="Times New Roman" w:hAnsi="Times New Roman" w:cs="Times New Roman"/>
          <w:sz w:val="24"/>
          <w:szCs w:val="24"/>
        </w:rPr>
        <w:t xml:space="preserve">Прутченков</w:t>
      </w:r>
      <w:r>
        <w:rPr>
          <w:rFonts w:ascii="Times New Roman" w:hAnsi="Times New Roman" w:cs="Times New Roman"/>
          <w:sz w:val="24"/>
          <w:szCs w:val="24"/>
        </w:rPr>
        <w:t xml:space="preserve">, И.С. Фатов. — М.: Изд-во </w:t>
      </w:r>
      <w:r>
        <w:rPr>
          <w:rFonts w:ascii="Times New Roman" w:hAnsi="Times New Roman" w:cs="Times New Roman"/>
          <w:sz w:val="24"/>
          <w:szCs w:val="24"/>
        </w:rPr>
        <w:t xml:space="preserve">Моск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гуманит</w:t>
      </w:r>
      <w:r>
        <w:rPr>
          <w:rFonts w:ascii="Times New Roman" w:hAnsi="Times New Roman" w:cs="Times New Roman"/>
          <w:sz w:val="24"/>
          <w:szCs w:val="24"/>
        </w:rPr>
        <w:t xml:space="preserve">. ун-та, 2013. – 112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http://rcro.tomsk.ru/wp-content/uploads/2016/01/Uchebno-metodicheskoe-posobie-po-USU.pdf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http://rcro.tomsk.ru/wp-content/uploads/2016/01/Uchebno-metodicheskoe-posobie-po-USU.pdf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полезные ресурсы: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государственной молодежной политики Российской Федерации на период до 2025 года </w:t>
      </w:r>
      <w:hyperlink r:id="rId15" w:tooltip="https://docs.cntd.ru/document/420237592?marker=65A0IQ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https://docs.cntd.ru/document/420237592?marker=65A0IQ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АИС "Молодежь России"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ooltip="https://myrosmol.ru/index.php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https://myrosmol.ru/index.php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Ассоциация волонтерских центров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ooltip="https://авц.рф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https://авц.рф/</w:t>
        </w:r>
      </w:hyperlink>
      <w:r/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Ассоциация молодежных правительств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https://www.molprav.ru/about-us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https://www.molprav.ru/about-us/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Добро.Университет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https://edu.dobro.ru/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деятельности Росмолодежь </w:t>
      </w:r>
      <w:hyperlink r:id="rId19" w:tooltip="https://fadm.gov.ru/activity/scope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https://fadm.gov.ru/activity/s</w:t>
        </w:r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c</w:t>
        </w:r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ope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конкурса Твой ход </w:t>
      </w:r>
      <w:hyperlink r:id="rId20" w:tooltip="https://tvoyhod.online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https://tvoyhod.online/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проекта Большая перемена </w:t>
      </w:r>
      <w:hyperlink r:id="rId21" w:tooltip="https://bolshayaperemena.online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https://bolshayaperemena.online/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Платформа </w:t>
      </w:r>
      <w:r>
        <w:rPr>
          <w:rFonts w:ascii="Times New Roman" w:hAnsi="Times New Roman" w:cs="Times New Roman"/>
          <w:sz w:val="24"/>
          <w:szCs w:val="24"/>
        </w:rPr>
        <w:t xml:space="preserve">Добро.ру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tooltip="https://dobro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https://dobro.ru/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Платформа Россия – страна возможностей </w:t>
      </w:r>
      <w:hyperlink r:id="rId23" w:tooltip="https://rsv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https://rsv.ru/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Росмолодежь гранты </w:t>
      </w:r>
      <w:hyperlink r:id="rId24" w:tooltip="https://fadm.gov.ru/activity/grant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https://fadm.gov.ru/activity/grant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8"/>
        <w:numPr>
          <w:ilvl w:val="0"/>
          <w:numId w:val="2"/>
        </w:numPr>
        <w:rPr>
          <w:rStyle w:val="60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Российский союз молодежи </w:t>
      </w:r>
      <w:hyperlink r:id="rId25" w:tooltip="https://www.ruy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https://www.ruy.ru/</w:t>
        </w:r>
      </w:hyperlink>
      <w:r>
        <w:rPr>
          <w:rStyle w:val="606"/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Российское движение школьников </w:t>
      </w:r>
      <w:r>
        <w:rPr>
          <w:rFonts w:ascii="Times New Roman" w:hAnsi="Times New Roman" w:cs="Times New Roman"/>
          <w:sz w:val="24"/>
          <w:szCs w:val="24"/>
        </w:rPr>
        <w:t xml:space="preserve">https://рдш.рф/ (Российское движение школьников)</w:t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елеграм канал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осмолодежь </w:t>
      </w:r>
      <w:hyperlink r:id="rId26" w:tooltip="https://t.me/rosmolodez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https://t.me/rosmolodez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елеграм канал РСВ - </w:t>
      </w:r>
      <w:hyperlink r:id="rId27" w:tooltip="https://t.me/stranavozmojnostey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https://t.me/stranavozmojnostey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Телеграмм канал "Все о грантах Росмолодежи"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tooltip="https://t.me/grantRosmolodez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https://t.me/grantRosmolodez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аспоряжение Правительства Российской Федерации от 29 ноября 2014 года N 2403-р </w:t>
      </w:r>
      <w:r/>
    </w:p>
    <w:p>
      <w:pPr>
        <w:pStyle w:val="608"/>
        <w:numPr>
          <w:ilvl w:val="0"/>
          <w:numId w:val="2"/>
        </w:numPr>
        <w:rPr>
          <w:rStyle w:val="60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30 декабря 2020 г. № 489-ФЗ "О молодежной политике в Российской Федерации" </w:t>
      </w:r>
      <w:hyperlink r:id="rId29" w:tooltip="https://www.garant.ru/products/ipo/prime/doc/400056192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https://www.garant.ru/products/ipo/prime/doc/400056192/</w:t>
        </w:r>
      </w:hyperlink>
      <w:r/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2"/>
    <w:next w:val="60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>
    <w:name w:val="Hyperlink"/>
    <w:basedOn w:val="603"/>
    <w:uiPriority w:val="99"/>
    <w:unhideWhenUsed/>
    <w:rPr>
      <w:color w:val="0563C1" w:themeColor="hyperlink"/>
      <w:u w:val="single"/>
    </w:rPr>
  </w:style>
  <w:style w:type="character" w:styleId="607">
    <w:name w:val="Unresolved Mention"/>
    <w:basedOn w:val="603"/>
    <w:uiPriority w:val="99"/>
    <w:semiHidden/>
    <w:unhideWhenUsed/>
    <w:rPr>
      <w:color w:val="605E5C"/>
      <w:shd w:val="clear" w:color="auto" w:fill="e1dfdd"/>
    </w:rPr>
  </w:style>
  <w:style w:type="paragraph" w:styleId="608">
    <w:name w:val="List Paragraph"/>
    <w:basedOn w:val="602"/>
    <w:uiPriority w:val="34"/>
    <w:qFormat/>
    <w:pPr>
      <w:contextualSpacing/>
      <w:ind w:left="720"/>
    </w:pPr>
  </w:style>
  <w:style w:type="character" w:styleId="609">
    <w:name w:val="FollowedHyperlink"/>
    <w:basedOn w:val="603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publishing.intelgr.com/archive/lichnostnyie-resursyi-v-upravlenii-kachestvom-zhizni.pdf" TargetMode="External"/><Relationship Id="rId10" Type="http://schemas.openxmlformats.org/officeDocument/2006/relationships/hyperlink" Target="https://www.ruy.ru/upload/iblock/8e6/Luchshie_praktiki_deyatelnosti_molodezhnykh_proektnykh_komand.pdf" TargetMode="External"/><Relationship Id="rId11" Type="http://schemas.openxmlformats.org/officeDocument/2006/relationships/hyperlink" Target="http://xn--h1aauh.xn--p1ai/wp-content/uploads/2020/12/%D0%9C%D0%BE%D0%BB%D0%BE%D0%B4%D0%B5%D0%B6%D0%BD%D0%B0%D1%8F-%D0%BF%D0%BE%D0%BB%D0%B8%D1%82%D0%B8%D0%BA%D0%B0-%D0%A0%D0%BE%D1%81%D1%82%D0%BE%D0%B2%D1%81%D0%BA%D0%B0%D1%8F-%D0%9A%D0%BD%D1%8F%D0%B7%D1%8C%D0%BA%D0%BE%D0%B2%D0%B0.pdf" TargetMode="External"/><Relationship Id="rId12" Type="http://schemas.openxmlformats.org/officeDocument/2006/relationships/hyperlink" Target="https://www.aquilopress.com/Pro/Upload/Book/TextAll.pdf" TargetMode="External"/><Relationship Id="rId13" Type="http://schemas.openxmlformats.org/officeDocument/2006/relationships/hyperlink" Target="https://publications.hse.ru/mirror/pubs/share/direct/387171972.pdf" TargetMode="External"/><Relationship Id="rId14" Type="http://schemas.openxmlformats.org/officeDocument/2006/relationships/hyperlink" Target="http://rcro.tomsk.ru/wp-content/uploads/2016/01/Uchebno-metodicheskoe-posobie-po-USU.pdf" TargetMode="External"/><Relationship Id="rId15" Type="http://schemas.openxmlformats.org/officeDocument/2006/relationships/hyperlink" Target="https://docs.cntd.ru/document/420237592?marker=65A0IQ" TargetMode="External"/><Relationship Id="rId16" Type="http://schemas.openxmlformats.org/officeDocument/2006/relationships/hyperlink" Target="https://myrosmol.ru/index.php" TargetMode="External"/><Relationship Id="rId17" Type="http://schemas.openxmlformats.org/officeDocument/2006/relationships/hyperlink" Target="https://&#1072;&#1074;&#1094;.&#1088;&#1092;/" TargetMode="External"/><Relationship Id="rId18" Type="http://schemas.openxmlformats.org/officeDocument/2006/relationships/hyperlink" Target="https://www.molprav.ru/about-us/" TargetMode="External"/><Relationship Id="rId19" Type="http://schemas.openxmlformats.org/officeDocument/2006/relationships/hyperlink" Target="https://fadm.gov.ru/activity/scope" TargetMode="External"/><Relationship Id="rId20" Type="http://schemas.openxmlformats.org/officeDocument/2006/relationships/hyperlink" Target="https://tvoyhod.online/" TargetMode="External"/><Relationship Id="rId21" Type="http://schemas.openxmlformats.org/officeDocument/2006/relationships/hyperlink" Target="https://bolshayaperemena.online/" TargetMode="External"/><Relationship Id="rId22" Type="http://schemas.openxmlformats.org/officeDocument/2006/relationships/hyperlink" Target="https://dobro.ru/" TargetMode="External"/><Relationship Id="rId23" Type="http://schemas.openxmlformats.org/officeDocument/2006/relationships/hyperlink" Target="https://rsv.ru/" TargetMode="External"/><Relationship Id="rId24" Type="http://schemas.openxmlformats.org/officeDocument/2006/relationships/hyperlink" Target="https://fadm.gov.ru/activity/grant" TargetMode="External"/><Relationship Id="rId25" Type="http://schemas.openxmlformats.org/officeDocument/2006/relationships/hyperlink" Target="https://www.ruy.ru/" TargetMode="External"/><Relationship Id="rId26" Type="http://schemas.openxmlformats.org/officeDocument/2006/relationships/hyperlink" Target="https://t.me/rosmolodez" TargetMode="External"/><Relationship Id="rId27" Type="http://schemas.openxmlformats.org/officeDocument/2006/relationships/hyperlink" Target="https://t.me/stranavozmojnostey" TargetMode="External"/><Relationship Id="rId28" Type="http://schemas.openxmlformats.org/officeDocument/2006/relationships/hyperlink" Target="https://t.me/grantRosmolodez" TargetMode="External"/><Relationship Id="rId29" Type="http://schemas.openxmlformats.org/officeDocument/2006/relationships/hyperlink" Target="https://www.garant.ru/products/ipo/prime/doc/400056192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Тех служба</cp:lastModifiedBy>
  <cp:revision>3</cp:revision>
  <dcterms:created xsi:type="dcterms:W3CDTF">2022-05-23T12:06:00Z</dcterms:created>
  <dcterms:modified xsi:type="dcterms:W3CDTF">2022-08-15T08:18:14Z</dcterms:modified>
</cp:coreProperties>
</file>